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214" w:rsidRPr="009E1840" w:rsidRDefault="0035180A" w:rsidP="009E1840">
      <w:pPr>
        <w:spacing w:line="36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MEMORA</w:t>
      </w:r>
      <w:r w:rsidR="00B2752E" w:rsidRPr="009E1840">
        <w:rPr>
          <w:rFonts w:ascii="Times New Roman" w:hAnsi="Times New Roman" w:cs="Times New Roman"/>
          <w:b/>
          <w:sz w:val="24"/>
          <w:szCs w:val="24"/>
        </w:rPr>
        <w:t>NDUM</w:t>
      </w:r>
    </w:p>
    <w:p w:rsidR="00B2752E" w:rsidRPr="009E1840" w:rsidRDefault="00B2752E" w:rsidP="00C452A4">
      <w:pPr>
        <w:spacing w:line="360" w:lineRule="auto"/>
        <w:jc w:val="both"/>
        <w:rPr>
          <w:rFonts w:ascii="Times New Roman" w:hAnsi="Times New Roman" w:cs="Times New Roman"/>
          <w:b/>
          <w:sz w:val="24"/>
          <w:szCs w:val="24"/>
        </w:rPr>
      </w:pPr>
      <w:r w:rsidRPr="009E1840">
        <w:rPr>
          <w:rFonts w:ascii="Times New Roman" w:hAnsi="Times New Roman" w:cs="Times New Roman"/>
          <w:b/>
          <w:sz w:val="24"/>
          <w:szCs w:val="24"/>
        </w:rPr>
        <w:t>TO:</w:t>
      </w:r>
      <w:r w:rsidR="009E1840">
        <w:rPr>
          <w:rFonts w:ascii="Times New Roman" w:hAnsi="Times New Roman" w:cs="Times New Roman"/>
          <w:b/>
          <w:sz w:val="24"/>
          <w:szCs w:val="24"/>
        </w:rPr>
        <w:t xml:space="preserve"> </w:t>
      </w:r>
      <w:r w:rsidR="009E1840">
        <w:rPr>
          <w:rFonts w:ascii="Times New Roman" w:hAnsi="Times New Roman" w:cs="Times New Roman"/>
          <w:b/>
          <w:sz w:val="24"/>
          <w:szCs w:val="24"/>
        </w:rPr>
        <w:tab/>
      </w:r>
      <w:r w:rsidR="0000140D">
        <w:rPr>
          <w:rFonts w:ascii="Times New Roman" w:hAnsi="Times New Roman" w:cs="Times New Roman"/>
          <w:b/>
          <w:sz w:val="24"/>
          <w:szCs w:val="24"/>
        </w:rPr>
        <w:tab/>
      </w:r>
      <w:r w:rsidR="00377140">
        <w:rPr>
          <w:rFonts w:ascii="Times New Roman" w:hAnsi="Times New Roman" w:cs="Times New Roman"/>
          <w:b/>
          <w:sz w:val="24"/>
          <w:szCs w:val="24"/>
        </w:rPr>
        <w:t>Accountant</w:t>
      </w:r>
    </w:p>
    <w:p w:rsidR="00B2752E" w:rsidRPr="009E1840" w:rsidRDefault="00B2752E" w:rsidP="00C452A4">
      <w:pPr>
        <w:spacing w:line="360" w:lineRule="auto"/>
        <w:jc w:val="both"/>
        <w:rPr>
          <w:rFonts w:ascii="Times New Roman" w:hAnsi="Times New Roman" w:cs="Times New Roman"/>
          <w:b/>
          <w:sz w:val="24"/>
          <w:szCs w:val="24"/>
        </w:rPr>
      </w:pPr>
      <w:r w:rsidRPr="009E1840">
        <w:rPr>
          <w:rFonts w:ascii="Times New Roman" w:hAnsi="Times New Roman" w:cs="Times New Roman"/>
          <w:b/>
          <w:sz w:val="24"/>
          <w:szCs w:val="24"/>
        </w:rPr>
        <w:t>FROM:</w:t>
      </w:r>
      <w:r w:rsidR="0000140D">
        <w:rPr>
          <w:rFonts w:ascii="Times New Roman" w:hAnsi="Times New Roman" w:cs="Times New Roman"/>
          <w:b/>
          <w:sz w:val="24"/>
          <w:szCs w:val="24"/>
        </w:rPr>
        <w:tab/>
      </w:r>
      <w:r w:rsidR="00377140">
        <w:rPr>
          <w:rFonts w:ascii="Times New Roman" w:hAnsi="Times New Roman" w:cs="Times New Roman"/>
          <w:b/>
          <w:sz w:val="24"/>
          <w:szCs w:val="24"/>
        </w:rPr>
        <w:t>Tax Consultant</w:t>
      </w:r>
    </w:p>
    <w:p w:rsidR="00B2752E" w:rsidRPr="009E1840" w:rsidRDefault="00B2752E" w:rsidP="00C452A4">
      <w:pPr>
        <w:spacing w:line="360" w:lineRule="auto"/>
        <w:jc w:val="both"/>
        <w:rPr>
          <w:rFonts w:ascii="Times New Roman" w:hAnsi="Times New Roman" w:cs="Times New Roman"/>
          <w:b/>
          <w:sz w:val="24"/>
          <w:szCs w:val="24"/>
        </w:rPr>
      </w:pPr>
      <w:r w:rsidRPr="009E1840">
        <w:rPr>
          <w:rFonts w:ascii="Times New Roman" w:hAnsi="Times New Roman" w:cs="Times New Roman"/>
          <w:b/>
          <w:sz w:val="24"/>
          <w:szCs w:val="24"/>
        </w:rPr>
        <w:t>DATE:</w:t>
      </w:r>
    </w:p>
    <w:p w:rsidR="00B2752E" w:rsidRPr="009E1840" w:rsidRDefault="00B2752E" w:rsidP="00C452A4">
      <w:pPr>
        <w:spacing w:line="360" w:lineRule="auto"/>
        <w:jc w:val="both"/>
        <w:rPr>
          <w:rFonts w:ascii="Times New Roman" w:hAnsi="Times New Roman" w:cs="Times New Roman"/>
          <w:b/>
          <w:sz w:val="24"/>
          <w:szCs w:val="24"/>
        </w:rPr>
      </w:pPr>
      <w:r w:rsidRPr="009E1840">
        <w:rPr>
          <w:rFonts w:ascii="Times New Roman" w:hAnsi="Times New Roman" w:cs="Times New Roman"/>
          <w:b/>
          <w:sz w:val="24"/>
          <w:szCs w:val="24"/>
        </w:rPr>
        <w:t>SUBJECT:</w:t>
      </w:r>
      <w:r w:rsidR="009E1840">
        <w:rPr>
          <w:rFonts w:ascii="Times New Roman" w:hAnsi="Times New Roman" w:cs="Times New Roman"/>
          <w:b/>
          <w:sz w:val="24"/>
          <w:szCs w:val="24"/>
        </w:rPr>
        <w:t xml:space="preserve"> </w:t>
      </w:r>
      <w:r w:rsidR="00377140">
        <w:rPr>
          <w:rFonts w:ascii="Times New Roman" w:hAnsi="Times New Roman" w:cs="Times New Roman"/>
          <w:b/>
          <w:sz w:val="24"/>
          <w:szCs w:val="24"/>
        </w:rPr>
        <w:tab/>
      </w:r>
      <w:r w:rsidR="006203F9">
        <w:rPr>
          <w:rFonts w:ascii="Times New Roman" w:hAnsi="Times New Roman" w:cs="Times New Roman"/>
          <w:b/>
          <w:sz w:val="24"/>
          <w:szCs w:val="24"/>
        </w:rPr>
        <w:t>Entertainment, Meal, and Travel Expense Deductions.</w:t>
      </w:r>
    </w:p>
    <w:p w:rsidR="009A2A5E" w:rsidRPr="00CC366C" w:rsidRDefault="00234C1F" w:rsidP="00C452A4">
      <w:pPr>
        <w:spacing w:line="360" w:lineRule="auto"/>
        <w:jc w:val="both"/>
        <w:rPr>
          <w:rFonts w:ascii="Times New Roman" w:hAnsi="Times New Roman" w:cs="Times New Roman"/>
          <w:b/>
          <w:sz w:val="24"/>
          <w:szCs w:val="24"/>
        </w:rPr>
      </w:pPr>
      <w:r w:rsidRPr="00CC366C">
        <w:rPr>
          <w:rFonts w:ascii="Times New Roman" w:hAnsi="Times New Roman" w:cs="Times New Roman"/>
          <w:b/>
          <w:sz w:val="24"/>
          <w:szCs w:val="24"/>
        </w:rPr>
        <w:t>Facts</w:t>
      </w:r>
      <w:r w:rsidR="00377765" w:rsidRPr="00CC366C">
        <w:rPr>
          <w:rFonts w:ascii="Times New Roman" w:hAnsi="Times New Roman" w:cs="Times New Roman"/>
          <w:b/>
          <w:sz w:val="24"/>
          <w:szCs w:val="24"/>
        </w:rPr>
        <w:t>:</w:t>
      </w:r>
    </w:p>
    <w:p w:rsidR="001B76C8" w:rsidRDefault="001B76C8" w:rsidP="00C452A4">
      <w:pPr>
        <w:spacing w:line="360" w:lineRule="auto"/>
        <w:jc w:val="both"/>
        <w:rPr>
          <w:rFonts w:ascii="Times New Roman" w:hAnsi="Times New Roman" w:cs="Times New Roman"/>
          <w:sz w:val="24"/>
          <w:szCs w:val="24"/>
        </w:rPr>
      </w:pPr>
      <w:r w:rsidRPr="001B76C8">
        <w:rPr>
          <w:rFonts w:ascii="Times New Roman" w:hAnsi="Times New Roman" w:cs="Times New Roman"/>
          <w:sz w:val="24"/>
          <w:szCs w:val="24"/>
        </w:rPr>
        <w:t>George’s Software Inc. is a C corporation. The corporation is also a year-end, cash basis taxpayer. The Business entertains customers as a strategy to win new business and maintain a relationship with the existing customers. The entertainment can involve taking the customers to a football or basketball game. At other times, it involves taking them to a restaurant to wine and dine. Due to the distance gap between many customers and the business, this may require employees to travel to be near them. Also, as a way of winning more business contracts, every quarter, the CEO takes the top ten business development executives to lunch.</w:t>
      </w:r>
    </w:p>
    <w:p w:rsidR="00CB2D40" w:rsidRPr="00CC366C" w:rsidRDefault="00264DE2" w:rsidP="00C452A4">
      <w:pPr>
        <w:spacing w:line="360" w:lineRule="auto"/>
        <w:jc w:val="both"/>
        <w:rPr>
          <w:rFonts w:ascii="Times New Roman" w:hAnsi="Times New Roman" w:cs="Times New Roman"/>
          <w:b/>
          <w:sz w:val="24"/>
          <w:szCs w:val="24"/>
        </w:rPr>
      </w:pPr>
      <w:r w:rsidRPr="00CC366C">
        <w:rPr>
          <w:rFonts w:ascii="Times New Roman" w:hAnsi="Times New Roman" w:cs="Times New Roman"/>
          <w:b/>
          <w:sz w:val="24"/>
          <w:szCs w:val="24"/>
        </w:rPr>
        <w:t>Issue</w:t>
      </w:r>
      <w:r w:rsidR="00377765" w:rsidRPr="00CC366C">
        <w:rPr>
          <w:rFonts w:ascii="Times New Roman" w:hAnsi="Times New Roman" w:cs="Times New Roman"/>
          <w:b/>
          <w:sz w:val="24"/>
          <w:szCs w:val="24"/>
        </w:rPr>
        <w:t>:</w:t>
      </w:r>
    </w:p>
    <w:p w:rsidR="00264DE2" w:rsidRPr="00161758" w:rsidRDefault="00264DE2" w:rsidP="00C452A4">
      <w:pPr>
        <w:spacing w:line="360" w:lineRule="auto"/>
        <w:jc w:val="both"/>
        <w:rPr>
          <w:rFonts w:ascii="Times New Roman" w:hAnsi="Times New Roman" w:cs="Times New Roman"/>
          <w:sz w:val="24"/>
          <w:szCs w:val="24"/>
        </w:rPr>
      </w:pPr>
      <w:r w:rsidRPr="00161758">
        <w:rPr>
          <w:rFonts w:ascii="Times New Roman" w:hAnsi="Times New Roman" w:cs="Times New Roman"/>
          <w:sz w:val="24"/>
          <w:szCs w:val="24"/>
        </w:rPr>
        <w:t>Is</w:t>
      </w:r>
      <w:r w:rsidR="00047C1B" w:rsidRPr="00161758">
        <w:rPr>
          <w:rFonts w:ascii="Times New Roman" w:hAnsi="Times New Roman" w:cs="Times New Roman"/>
          <w:sz w:val="24"/>
          <w:szCs w:val="24"/>
        </w:rPr>
        <w:t xml:space="preserve"> George’s Software</w:t>
      </w:r>
      <w:r w:rsidRPr="00161758">
        <w:rPr>
          <w:rFonts w:ascii="Times New Roman" w:hAnsi="Times New Roman" w:cs="Times New Roman"/>
          <w:sz w:val="24"/>
          <w:szCs w:val="24"/>
        </w:rPr>
        <w:t xml:space="preserve"> </w:t>
      </w:r>
      <w:r w:rsidR="00047C1B" w:rsidRPr="00161758">
        <w:rPr>
          <w:rFonts w:ascii="Times New Roman" w:hAnsi="Times New Roman" w:cs="Times New Roman"/>
          <w:sz w:val="24"/>
          <w:szCs w:val="24"/>
        </w:rPr>
        <w:t>Inc.</w:t>
      </w:r>
      <w:r w:rsidRPr="00161758">
        <w:rPr>
          <w:rFonts w:ascii="Times New Roman" w:hAnsi="Times New Roman" w:cs="Times New Roman"/>
          <w:sz w:val="24"/>
          <w:szCs w:val="24"/>
        </w:rPr>
        <w:t xml:space="preserve"> allowed deduction</w:t>
      </w:r>
      <w:r w:rsidR="00B12614" w:rsidRPr="00161758">
        <w:rPr>
          <w:rFonts w:ascii="Times New Roman" w:hAnsi="Times New Roman" w:cs="Times New Roman"/>
          <w:sz w:val="24"/>
          <w:szCs w:val="24"/>
        </w:rPr>
        <w:t xml:space="preserve">s </w:t>
      </w:r>
      <w:r w:rsidR="00E60877" w:rsidRPr="00161758">
        <w:rPr>
          <w:rFonts w:ascii="Times New Roman" w:hAnsi="Times New Roman" w:cs="Times New Roman"/>
          <w:sz w:val="24"/>
          <w:szCs w:val="24"/>
        </w:rPr>
        <w:t>on meals</w:t>
      </w:r>
      <w:r w:rsidR="00CB2D40" w:rsidRPr="00161758">
        <w:rPr>
          <w:rFonts w:ascii="Times New Roman" w:hAnsi="Times New Roman" w:cs="Times New Roman"/>
          <w:sz w:val="24"/>
          <w:szCs w:val="24"/>
        </w:rPr>
        <w:t>, travel,</w:t>
      </w:r>
      <w:r w:rsidR="00E60877" w:rsidRPr="00161758">
        <w:rPr>
          <w:rFonts w:ascii="Times New Roman" w:hAnsi="Times New Roman" w:cs="Times New Roman"/>
          <w:sz w:val="24"/>
          <w:szCs w:val="24"/>
        </w:rPr>
        <w:t xml:space="preserve"> and entertainment expenses under code section 274</w:t>
      </w:r>
      <w:r w:rsidR="005F7B1E" w:rsidRPr="00161758">
        <w:rPr>
          <w:rFonts w:ascii="Times New Roman" w:hAnsi="Times New Roman" w:cs="Times New Roman"/>
          <w:sz w:val="24"/>
          <w:szCs w:val="24"/>
        </w:rPr>
        <w:t>?</w:t>
      </w:r>
    </w:p>
    <w:p w:rsidR="00234C1F" w:rsidRPr="00CC366C" w:rsidRDefault="00234C1F" w:rsidP="00C452A4">
      <w:pPr>
        <w:spacing w:line="360" w:lineRule="auto"/>
        <w:jc w:val="both"/>
        <w:rPr>
          <w:rFonts w:ascii="Times New Roman" w:hAnsi="Times New Roman" w:cs="Times New Roman"/>
          <w:b/>
          <w:sz w:val="24"/>
          <w:szCs w:val="24"/>
        </w:rPr>
      </w:pPr>
      <w:r w:rsidRPr="00CC366C">
        <w:rPr>
          <w:rFonts w:ascii="Times New Roman" w:hAnsi="Times New Roman" w:cs="Times New Roman"/>
          <w:b/>
          <w:sz w:val="24"/>
          <w:szCs w:val="24"/>
        </w:rPr>
        <w:t>Analysis</w:t>
      </w:r>
      <w:r w:rsidR="00377765" w:rsidRPr="00CC366C">
        <w:rPr>
          <w:rFonts w:ascii="Times New Roman" w:hAnsi="Times New Roman" w:cs="Times New Roman"/>
          <w:b/>
          <w:sz w:val="24"/>
          <w:szCs w:val="24"/>
        </w:rPr>
        <w:t>:</w:t>
      </w:r>
    </w:p>
    <w:p w:rsidR="001B76C8" w:rsidRPr="001B76C8" w:rsidRDefault="001B76C8" w:rsidP="001B76C8">
      <w:pPr>
        <w:spacing w:line="360" w:lineRule="auto"/>
        <w:jc w:val="both"/>
        <w:rPr>
          <w:rFonts w:ascii="Times New Roman" w:hAnsi="Times New Roman" w:cs="Times New Roman"/>
          <w:sz w:val="24"/>
          <w:szCs w:val="24"/>
        </w:rPr>
      </w:pPr>
      <w:r w:rsidRPr="001B76C8">
        <w:rPr>
          <w:rFonts w:ascii="Times New Roman" w:hAnsi="Times New Roman" w:cs="Times New Roman"/>
          <w:sz w:val="24"/>
          <w:szCs w:val="24"/>
        </w:rPr>
        <w:t>The general rule for meals is that meal expenses are deductible up to 50 percent provided they are directly related to the business or meet the business exceptions § 274(n)(1). One of the specific exceptions for meal expenses concerns the presence of the taxpayer or their employee at the time the food or beverages are served. Previously, the law stated taxpayers could also deduct 50 percent of meals costs, so they remained despite the entertainment expenses deduction being eliminated.</w:t>
      </w:r>
    </w:p>
    <w:p w:rsidR="001B76C8" w:rsidRPr="001B76C8" w:rsidRDefault="001B76C8" w:rsidP="001B76C8">
      <w:pPr>
        <w:spacing w:line="360" w:lineRule="auto"/>
        <w:jc w:val="both"/>
        <w:rPr>
          <w:rFonts w:ascii="Times New Roman" w:hAnsi="Times New Roman" w:cs="Times New Roman"/>
          <w:sz w:val="24"/>
          <w:szCs w:val="24"/>
        </w:rPr>
      </w:pPr>
    </w:p>
    <w:p w:rsidR="001B76C8" w:rsidRPr="001B76C8" w:rsidRDefault="001B76C8" w:rsidP="001B76C8">
      <w:pPr>
        <w:spacing w:line="360" w:lineRule="auto"/>
        <w:jc w:val="both"/>
        <w:rPr>
          <w:rFonts w:ascii="Times New Roman" w:hAnsi="Times New Roman" w:cs="Times New Roman"/>
          <w:sz w:val="24"/>
          <w:szCs w:val="24"/>
        </w:rPr>
      </w:pPr>
    </w:p>
    <w:p w:rsidR="00CC366C" w:rsidRPr="00161758" w:rsidRDefault="00CC366C" w:rsidP="00C452A4">
      <w:pPr>
        <w:spacing w:line="360" w:lineRule="auto"/>
        <w:jc w:val="both"/>
        <w:rPr>
          <w:rFonts w:ascii="Times New Roman" w:hAnsi="Times New Roman" w:cs="Times New Roman"/>
          <w:sz w:val="24"/>
          <w:szCs w:val="24"/>
        </w:rPr>
      </w:pPr>
    </w:p>
    <w:p w:rsidR="00752596" w:rsidRPr="00161758" w:rsidRDefault="001B76C8" w:rsidP="00C452A4">
      <w:pPr>
        <w:spacing w:line="360" w:lineRule="auto"/>
        <w:jc w:val="both"/>
        <w:rPr>
          <w:rFonts w:ascii="Times New Roman" w:hAnsi="Times New Roman" w:cs="Times New Roman"/>
          <w:sz w:val="24"/>
          <w:szCs w:val="24"/>
        </w:rPr>
      </w:pPr>
      <w:r w:rsidRPr="00161758">
        <w:rPr>
          <w:rFonts w:ascii="Times New Roman" w:hAnsi="Times New Roman" w:cs="Times New Roman"/>
          <w:sz w:val="24"/>
          <w:szCs w:val="24"/>
        </w:rPr>
        <w:lastRenderedPageBreak/>
        <w:t xml:space="preserve">The general rule for entertainment expenses is that deduction for an activity considered as entertainment is disallowed unless there is a particular exception as contained in </w:t>
      </w:r>
      <w:r w:rsidR="00BD7B62" w:rsidRPr="00BD7B62">
        <w:rPr>
          <w:rFonts w:ascii="Times New Roman" w:hAnsi="Times New Roman" w:cs="Times New Roman"/>
          <w:sz w:val="24"/>
          <w:szCs w:val="24"/>
        </w:rPr>
        <w:t xml:space="preserve">Section 274(e)(1) - (9). </w:t>
      </w:r>
      <w:r w:rsidRPr="00161758">
        <w:rPr>
          <w:rFonts w:ascii="Times New Roman" w:hAnsi="Times New Roman" w:cs="Times New Roman"/>
          <w:sz w:val="24"/>
          <w:szCs w:val="24"/>
        </w:rPr>
        <w:t>The term “entertainment” is defined as any activity that consists of amusement, and recreation. One-exception states that the entertainment should not be lavish for example an automobile used in the active conduct of trade</w:t>
      </w:r>
      <w:r>
        <w:rPr>
          <w:rFonts w:ascii="Times New Roman" w:hAnsi="Times New Roman" w:cs="Times New Roman"/>
          <w:sz w:val="24"/>
          <w:szCs w:val="24"/>
        </w:rPr>
        <w:t xml:space="preserve"> is not recreation</w:t>
      </w:r>
      <w:r w:rsidRPr="00161758">
        <w:rPr>
          <w:rFonts w:ascii="Times New Roman" w:hAnsi="Times New Roman" w:cs="Times New Roman"/>
          <w:sz w:val="24"/>
          <w:szCs w:val="24"/>
        </w:rPr>
        <w:t xml:space="preserve">. </w:t>
      </w:r>
      <w:r w:rsidRPr="00213ECF">
        <w:rPr>
          <w:rFonts w:ascii="Times New Roman" w:hAnsi="Times New Roman" w:cs="Times New Roman"/>
          <w:sz w:val="24"/>
          <w:szCs w:val="24"/>
        </w:rPr>
        <w:t>Furthermore, the meal and entertainment expenses are mentioned separately because the entertainment disallowance rule cannot be avoided by increasing the amount charged</w:t>
      </w:r>
      <w:r w:rsidR="00BD7B62">
        <w:rPr>
          <w:rFonts w:ascii="Times New Roman" w:hAnsi="Times New Roman" w:cs="Times New Roman"/>
          <w:sz w:val="24"/>
          <w:szCs w:val="24"/>
        </w:rPr>
        <w:t xml:space="preserve"> for food and beverages.</w:t>
      </w:r>
      <w:r w:rsidR="00BD7B62" w:rsidRPr="00BD7B62">
        <w:t xml:space="preserve"> </w:t>
      </w:r>
      <w:r w:rsidR="00BD7B62" w:rsidRPr="00BD7B62">
        <w:rPr>
          <w:rFonts w:ascii="Times New Roman" w:hAnsi="Times New Roman" w:cs="Times New Roman"/>
          <w:sz w:val="24"/>
          <w:szCs w:val="24"/>
        </w:rPr>
        <w:t>Consider an example from treasury regulation</w:t>
      </w:r>
      <w:r w:rsidRPr="00161758">
        <w:rPr>
          <w:rFonts w:ascii="Times New Roman" w:hAnsi="Times New Roman" w:cs="Times New Roman"/>
          <w:sz w:val="24"/>
          <w:szCs w:val="24"/>
        </w:rPr>
        <w:t xml:space="preserve"> § 1.274-2(b)(1)(i):</w:t>
      </w:r>
    </w:p>
    <w:p w:rsidR="00E956B7" w:rsidRPr="001608A8" w:rsidRDefault="00A7325D" w:rsidP="00C452A4">
      <w:pPr>
        <w:spacing w:line="360" w:lineRule="auto"/>
        <w:ind w:left="630" w:right="1080"/>
        <w:jc w:val="both"/>
        <w:rPr>
          <w:rFonts w:ascii="Times New Roman" w:hAnsi="Times New Roman" w:cs="Times New Roman"/>
          <w:i/>
          <w:sz w:val="24"/>
          <w:szCs w:val="24"/>
        </w:rPr>
      </w:pPr>
      <w:r w:rsidRPr="001608A8">
        <w:rPr>
          <w:rFonts w:ascii="Times New Roman" w:hAnsi="Times New Roman" w:cs="Times New Roman"/>
          <w:i/>
          <w:sz w:val="24"/>
          <w:szCs w:val="24"/>
        </w:rPr>
        <w:t>A Taxpayer C invites D, a business contact, to a basketball game. C purchases tickets for C and D to attend the game in a suite, where they have access to food and beverages. The cost of the basketball game tickets, as stated on the invoice, includes the food and beverages.</w:t>
      </w:r>
      <w:r w:rsidR="00C22D9C" w:rsidRPr="001608A8">
        <w:rPr>
          <w:rFonts w:ascii="Times New Roman" w:hAnsi="Times New Roman" w:cs="Times New Roman"/>
          <w:i/>
          <w:sz w:val="24"/>
          <w:szCs w:val="24"/>
        </w:rPr>
        <w:t xml:space="preserve"> Hence, the invoice for the event was </w:t>
      </w:r>
      <w:r w:rsidR="00A91818" w:rsidRPr="001608A8">
        <w:rPr>
          <w:rFonts w:ascii="Times New Roman" w:hAnsi="Times New Roman" w:cs="Times New Roman"/>
          <w:i/>
          <w:sz w:val="24"/>
          <w:szCs w:val="24"/>
        </w:rPr>
        <w:t xml:space="preserve">termed as </w:t>
      </w:r>
      <w:r w:rsidR="00FB2451" w:rsidRPr="001608A8">
        <w:rPr>
          <w:rFonts w:ascii="Times New Roman" w:hAnsi="Times New Roman" w:cs="Times New Roman"/>
          <w:i/>
          <w:sz w:val="24"/>
          <w:szCs w:val="24"/>
        </w:rPr>
        <w:t>non-</w:t>
      </w:r>
      <w:r w:rsidR="007F281C" w:rsidRPr="001608A8">
        <w:rPr>
          <w:rFonts w:ascii="Times New Roman" w:hAnsi="Times New Roman" w:cs="Times New Roman"/>
          <w:i/>
          <w:sz w:val="24"/>
          <w:szCs w:val="24"/>
        </w:rPr>
        <w:t>deductible</w:t>
      </w:r>
      <w:r w:rsidR="00FB2451" w:rsidRPr="001608A8">
        <w:rPr>
          <w:rFonts w:ascii="Times New Roman" w:hAnsi="Times New Roman" w:cs="Times New Roman"/>
          <w:i/>
          <w:sz w:val="24"/>
          <w:szCs w:val="24"/>
        </w:rPr>
        <w:t xml:space="preserve"> </w:t>
      </w:r>
      <w:r w:rsidR="00A91818" w:rsidRPr="001608A8">
        <w:rPr>
          <w:rFonts w:ascii="Times New Roman" w:hAnsi="Times New Roman" w:cs="Times New Roman"/>
          <w:i/>
          <w:sz w:val="24"/>
          <w:szCs w:val="24"/>
        </w:rPr>
        <w:t xml:space="preserve">entertainment expense since the game and meals were not </w:t>
      </w:r>
      <w:r w:rsidR="00FB2451" w:rsidRPr="001608A8">
        <w:rPr>
          <w:rFonts w:ascii="Times New Roman" w:hAnsi="Times New Roman" w:cs="Times New Roman"/>
          <w:i/>
          <w:sz w:val="24"/>
          <w:szCs w:val="24"/>
        </w:rPr>
        <w:t>separated.</w:t>
      </w:r>
    </w:p>
    <w:p w:rsidR="00CD20E7" w:rsidRDefault="00F33C25" w:rsidP="00F33C25">
      <w:pPr>
        <w:spacing w:line="360" w:lineRule="auto"/>
        <w:jc w:val="both"/>
      </w:pPr>
      <w:r w:rsidRPr="00F33C25">
        <w:rPr>
          <w:rFonts w:ascii="Times New Roman" w:hAnsi="Times New Roman" w:cs="Times New Roman"/>
          <w:sz w:val="24"/>
          <w:szCs w:val="24"/>
        </w:rPr>
        <w:t>The accountant for George’s Software Inc. can deduct the cost of meals for taking the existing and potential clients to lunch. However, the deduction is strictly limited by law to 50 percent, despite the elimination of substantiation requirements for entertainment expenses by TCJA Section 13304(a)(2)(A , documentation requirement still stands for meals as provided by section 162.</w:t>
      </w:r>
      <w:r w:rsidR="00CD20E7" w:rsidRPr="00CD20E7">
        <w:t xml:space="preserve"> </w:t>
      </w:r>
    </w:p>
    <w:p w:rsidR="00D62715" w:rsidRDefault="00D62715" w:rsidP="00F33C25">
      <w:pPr>
        <w:spacing w:line="360" w:lineRule="auto"/>
        <w:jc w:val="both"/>
      </w:pPr>
    </w:p>
    <w:p w:rsidR="00D62715" w:rsidRDefault="00D62715" w:rsidP="00F33C25">
      <w:pPr>
        <w:spacing w:line="360" w:lineRule="auto"/>
        <w:jc w:val="both"/>
      </w:pPr>
    </w:p>
    <w:p w:rsidR="00D62715" w:rsidRDefault="00D62715" w:rsidP="00F33C25">
      <w:pPr>
        <w:spacing w:line="360" w:lineRule="auto"/>
        <w:jc w:val="both"/>
      </w:pPr>
    </w:p>
    <w:p w:rsidR="00D62715" w:rsidRDefault="00D62715" w:rsidP="00F33C25">
      <w:pPr>
        <w:spacing w:line="360" w:lineRule="auto"/>
        <w:jc w:val="both"/>
      </w:pPr>
    </w:p>
    <w:p w:rsidR="00D62715" w:rsidRDefault="00D62715" w:rsidP="00F33C25">
      <w:pPr>
        <w:spacing w:line="360" w:lineRule="auto"/>
        <w:jc w:val="both"/>
      </w:pPr>
    </w:p>
    <w:p w:rsidR="00D62715" w:rsidRDefault="00D62715" w:rsidP="00F33C25">
      <w:pPr>
        <w:spacing w:line="360" w:lineRule="auto"/>
        <w:jc w:val="both"/>
      </w:pPr>
    </w:p>
    <w:p w:rsidR="00D62715" w:rsidRDefault="00D62715" w:rsidP="00F33C25">
      <w:pPr>
        <w:spacing w:line="360" w:lineRule="auto"/>
        <w:jc w:val="both"/>
      </w:pPr>
    </w:p>
    <w:p w:rsidR="00D62715" w:rsidRDefault="00D62715" w:rsidP="00F33C25">
      <w:pPr>
        <w:spacing w:line="360" w:lineRule="auto"/>
        <w:jc w:val="both"/>
      </w:pPr>
    </w:p>
    <w:p w:rsidR="00D62715" w:rsidRDefault="00D62715" w:rsidP="00F33C25">
      <w:pPr>
        <w:spacing w:line="360" w:lineRule="auto"/>
        <w:jc w:val="both"/>
      </w:pPr>
    </w:p>
    <w:p w:rsidR="00F33C25" w:rsidRDefault="00CD20E7" w:rsidP="00F33C25">
      <w:pPr>
        <w:spacing w:line="360" w:lineRule="auto"/>
        <w:jc w:val="both"/>
        <w:rPr>
          <w:rFonts w:ascii="Times New Roman" w:hAnsi="Times New Roman" w:cs="Times New Roman"/>
          <w:sz w:val="24"/>
          <w:szCs w:val="24"/>
        </w:rPr>
      </w:pPr>
      <w:r w:rsidRPr="00CD20E7">
        <w:rPr>
          <w:rFonts w:ascii="Times New Roman" w:hAnsi="Times New Roman" w:cs="Times New Roman"/>
          <w:sz w:val="24"/>
          <w:szCs w:val="24"/>
        </w:rPr>
        <w:lastRenderedPageBreak/>
        <w:t>The business is not permitted to deduct the cost of taking clients to either football or basketball games as these activities fall under entertainment expenses whose deductions were repealed completely. The question of if it makes a difference if food is provided is critical as IRC code 174(d) distinguishes between meals and entertainment activities. It states that they are different elements whose costs should be recorded separately.</w:t>
      </w:r>
    </w:p>
    <w:p w:rsidR="00B01E76" w:rsidRDefault="00B01E76" w:rsidP="00F33C25">
      <w:pPr>
        <w:spacing w:line="360" w:lineRule="auto"/>
        <w:jc w:val="both"/>
        <w:rPr>
          <w:rFonts w:ascii="Times New Roman" w:hAnsi="Times New Roman" w:cs="Times New Roman"/>
          <w:sz w:val="24"/>
          <w:szCs w:val="24"/>
        </w:rPr>
      </w:pPr>
      <w:r w:rsidRPr="00B01E76">
        <w:rPr>
          <w:rFonts w:ascii="Times New Roman" w:hAnsi="Times New Roman" w:cs="Times New Roman"/>
          <w:sz w:val="24"/>
          <w:szCs w:val="24"/>
        </w:rPr>
        <w:t>Additionally, subject to section 274(d), travel expenses related to the employees' business travel can be deducted. However, there limitation several limitations as provided in section 274(m), for example, when travel is termed as a form of education. On another note, on the CEO's quarterly lunch, the business is allowed to deduct only 50 percent since it is part of legal meals. They are taken in direct business contracts that are an integral part of the running of the firm.</w:t>
      </w:r>
    </w:p>
    <w:p w:rsidR="00D62715" w:rsidRPr="00B01E76" w:rsidRDefault="00D62715" w:rsidP="00F33C25">
      <w:pPr>
        <w:spacing w:line="360" w:lineRule="auto"/>
        <w:jc w:val="both"/>
        <w:rPr>
          <w:rFonts w:ascii="Times New Roman" w:hAnsi="Times New Roman" w:cs="Times New Roman"/>
          <w:sz w:val="24"/>
          <w:szCs w:val="24"/>
        </w:rPr>
      </w:pPr>
    </w:p>
    <w:p w:rsidR="00D62715" w:rsidRDefault="00234C1F" w:rsidP="00C452A4">
      <w:pPr>
        <w:spacing w:line="360" w:lineRule="auto"/>
        <w:jc w:val="both"/>
      </w:pPr>
      <w:r w:rsidRPr="00CC366C">
        <w:rPr>
          <w:rFonts w:ascii="Times New Roman" w:hAnsi="Times New Roman" w:cs="Times New Roman"/>
          <w:b/>
          <w:sz w:val="24"/>
          <w:szCs w:val="24"/>
        </w:rPr>
        <w:t>Conclusion</w:t>
      </w:r>
      <w:r w:rsidR="00684BDF" w:rsidRPr="00CC366C">
        <w:rPr>
          <w:rFonts w:ascii="Times New Roman" w:hAnsi="Times New Roman" w:cs="Times New Roman"/>
          <w:b/>
          <w:sz w:val="24"/>
          <w:szCs w:val="24"/>
        </w:rPr>
        <w:t>:</w:t>
      </w:r>
      <w:r w:rsidR="00D62715" w:rsidRPr="00D62715">
        <w:t xml:space="preserve"> </w:t>
      </w:r>
    </w:p>
    <w:p w:rsidR="00D62715" w:rsidRPr="00D62715" w:rsidRDefault="00D62715" w:rsidP="00C452A4">
      <w:pPr>
        <w:spacing w:line="360" w:lineRule="auto"/>
        <w:jc w:val="both"/>
        <w:rPr>
          <w:rFonts w:ascii="Times New Roman" w:hAnsi="Times New Roman" w:cs="Times New Roman"/>
          <w:sz w:val="24"/>
          <w:szCs w:val="24"/>
        </w:rPr>
      </w:pPr>
      <w:r w:rsidRPr="00D62715">
        <w:rPr>
          <w:rFonts w:ascii="Times New Roman" w:hAnsi="Times New Roman" w:cs="Times New Roman"/>
          <w:sz w:val="24"/>
          <w:szCs w:val="24"/>
        </w:rPr>
        <w:t>Your business will not be able to deduct entertainment expenses incurred in the process of winning new contracts and maintaining existing clients. However, the client’s meal expenses can be deducted up to 50 percent as they lie within the scope of the new TCJA of 2017. Consequently, travel expenses incurred by the firm also qualify for deduction as they involve legitimate business engagements as outlined by law. As seen above, the three expenses have different deduction provisions even though they are accrued simultaneously relative to one another.</w:t>
      </w:r>
    </w:p>
    <w:p w:rsidR="00D62715" w:rsidRPr="00D62715" w:rsidRDefault="00D62715" w:rsidP="00C452A4">
      <w:pPr>
        <w:spacing w:line="360" w:lineRule="auto"/>
        <w:jc w:val="both"/>
        <w:rPr>
          <w:rFonts w:ascii="Times New Roman" w:hAnsi="Times New Roman" w:cs="Times New Roman"/>
          <w:sz w:val="24"/>
          <w:szCs w:val="24"/>
        </w:rPr>
      </w:pPr>
    </w:p>
    <w:sectPr w:rsidR="00D62715" w:rsidRPr="00D6271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A44" w:rsidRDefault="000F1A44" w:rsidP="0035180A">
      <w:pPr>
        <w:spacing w:after="0" w:line="240" w:lineRule="auto"/>
      </w:pPr>
      <w:r>
        <w:separator/>
      </w:r>
    </w:p>
  </w:endnote>
  <w:endnote w:type="continuationSeparator" w:id="0">
    <w:p w:rsidR="000F1A44" w:rsidRDefault="000F1A44" w:rsidP="00351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A44" w:rsidRDefault="000F1A44" w:rsidP="0035180A">
      <w:pPr>
        <w:spacing w:after="0" w:line="240" w:lineRule="auto"/>
      </w:pPr>
      <w:r>
        <w:separator/>
      </w:r>
    </w:p>
  </w:footnote>
  <w:footnote w:type="continuationSeparator" w:id="0">
    <w:p w:rsidR="000F1A44" w:rsidRDefault="000F1A44" w:rsidP="003518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2107069467"/>
      <w:docPartObj>
        <w:docPartGallery w:val="Page Numbers (Top of Page)"/>
        <w:docPartUnique/>
      </w:docPartObj>
    </w:sdtPr>
    <w:sdtEndPr>
      <w:rPr>
        <w:noProof/>
      </w:rPr>
    </w:sdtEndPr>
    <w:sdtContent>
      <w:p w:rsidR="0035180A" w:rsidRPr="0035180A" w:rsidRDefault="0035180A">
        <w:pPr>
          <w:pStyle w:val="Header"/>
          <w:jc w:val="right"/>
          <w:rPr>
            <w:rFonts w:ascii="Times New Roman" w:hAnsi="Times New Roman" w:cs="Times New Roman"/>
            <w:sz w:val="24"/>
          </w:rPr>
        </w:pPr>
        <w:r w:rsidRPr="0035180A">
          <w:rPr>
            <w:rFonts w:ascii="Times New Roman" w:hAnsi="Times New Roman" w:cs="Times New Roman"/>
            <w:sz w:val="24"/>
          </w:rPr>
          <w:fldChar w:fldCharType="begin"/>
        </w:r>
        <w:r w:rsidRPr="0035180A">
          <w:rPr>
            <w:rFonts w:ascii="Times New Roman" w:hAnsi="Times New Roman" w:cs="Times New Roman"/>
            <w:sz w:val="24"/>
          </w:rPr>
          <w:instrText xml:space="preserve"> PAGE   \* MERGEFORMAT </w:instrText>
        </w:r>
        <w:r w:rsidRPr="0035180A">
          <w:rPr>
            <w:rFonts w:ascii="Times New Roman" w:hAnsi="Times New Roman" w:cs="Times New Roman"/>
            <w:sz w:val="24"/>
          </w:rPr>
          <w:fldChar w:fldCharType="separate"/>
        </w:r>
        <w:r w:rsidR="00511282">
          <w:rPr>
            <w:rFonts w:ascii="Times New Roman" w:hAnsi="Times New Roman" w:cs="Times New Roman"/>
            <w:noProof/>
            <w:sz w:val="24"/>
          </w:rPr>
          <w:t>1</w:t>
        </w:r>
        <w:r w:rsidRPr="0035180A">
          <w:rPr>
            <w:rFonts w:ascii="Times New Roman" w:hAnsi="Times New Roman" w:cs="Times New Roman"/>
            <w:noProof/>
            <w:sz w:val="24"/>
          </w:rPr>
          <w:fldChar w:fldCharType="end"/>
        </w:r>
      </w:p>
    </w:sdtContent>
  </w:sdt>
  <w:p w:rsidR="0035180A" w:rsidRPr="0035180A" w:rsidRDefault="0035180A">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3F22ED"/>
    <w:multiLevelType w:val="hybridMultilevel"/>
    <w:tmpl w:val="4AFE5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8C5"/>
    <w:rsid w:val="0000140D"/>
    <w:rsid w:val="00005823"/>
    <w:rsid w:val="00012B09"/>
    <w:rsid w:val="00047C1B"/>
    <w:rsid w:val="0005111F"/>
    <w:rsid w:val="00055080"/>
    <w:rsid w:val="000640CD"/>
    <w:rsid w:val="00073DA3"/>
    <w:rsid w:val="000828F8"/>
    <w:rsid w:val="000937BC"/>
    <w:rsid w:val="000A4496"/>
    <w:rsid w:val="000A57DA"/>
    <w:rsid w:val="000D56E1"/>
    <w:rsid w:val="000D71CD"/>
    <w:rsid w:val="000F1A44"/>
    <w:rsid w:val="001019F1"/>
    <w:rsid w:val="001556EF"/>
    <w:rsid w:val="00155A2B"/>
    <w:rsid w:val="001608A8"/>
    <w:rsid w:val="00161758"/>
    <w:rsid w:val="00172906"/>
    <w:rsid w:val="0017337D"/>
    <w:rsid w:val="001827E6"/>
    <w:rsid w:val="001B76C8"/>
    <w:rsid w:val="001C241F"/>
    <w:rsid w:val="001D7CF2"/>
    <w:rsid w:val="001E2F83"/>
    <w:rsid w:val="001F330F"/>
    <w:rsid w:val="00213ECF"/>
    <w:rsid w:val="0022412F"/>
    <w:rsid w:val="00234C1F"/>
    <w:rsid w:val="00264DE2"/>
    <w:rsid w:val="002B38CD"/>
    <w:rsid w:val="003244D6"/>
    <w:rsid w:val="0035180A"/>
    <w:rsid w:val="003574CD"/>
    <w:rsid w:val="00377140"/>
    <w:rsid w:val="00377765"/>
    <w:rsid w:val="003808F1"/>
    <w:rsid w:val="00385BA3"/>
    <w:rsid w:val="00385C6B"/>
    <w:rsid w:val="00423DBA"/>
    <w:rsid w:val="00433823"/>
    <w:rsid w:val="004468F0"/>
    <w:rsid w:val="00451388"/>
    <w:rsid w:val="0045211D"/>
    <w:rsid w:val="00452E47"/>
    <w:rsid w:val="004569CA"/>
    <w:rsid w:val="00460D48"/>
    <w:rsid w:val="00473063"/>
    <w:rsid w:val="004E03EC"/>
    <w:rsid w:val="004F5BEA"/>
    <w:rsid w:val="005045EF"/>
    <w:rsid w:val="00511282"/>
    <w:rsid w:val="0051733A"/>
    <w:rsid w:val="00517696"/>
    <w:rsid w:val="0052165F"/>
    <w:rsid w:val="005352FF"/>
    <w:rsid w:val="00566B57"/>
    <w:rsid w:val="00581DAF"/>
    <w:rsid w:val="005A3C86"/>
    <w:rsid w:val="005D1F42"/>
    <w:rsid w:val="005F7B1E"/>
    <w:rsid w:val="005F7B53"/>
    <w:rsid w:val="006203F9"/>
    <w:rsid w:val="0065071C"/>
    <w:rsid w:val="00652E41"/>
    <w:rsid w:val="00675539"/>
    <w:rsid w:val="006838C6"/>
    <w:rsid w:val="00684BDF"/>
    <w:rsid w:val="00691312"/>
    <w:rsid w:val="006D0A9A"/>
    <w:rsid w:val="006D4059"/>
    <w:rsid w:val="006F52E3"/>
    <w:rsid w:val="00722E0F"/>
    <w:rsid w:val="00733E2D"/>
    <w:rsid w:val="00744C9F"/>
    <w:rsid w:val="00752596"/>
    <w:rsid w:val="00777FCE"/>
    <w:rsid w:val="00781062"/>
    <w:rsid w:val="007C4E02"/>
    <w:rsid w:val="007E420F"/>
    <w:rsid w:val="007F281C"/>
    <w:rsid w:val="00813AAB"/>
    <w:rsid w:val="00830E7F"/>
    <w:rsid w:val="008462DF"/>
    <w:rsid w:val="00884477"/>
    <w:rsid w:val="008931D8"/>
    <w:rsid w:val="008D2543"/>
    <w:rsid w:val="00925730"/>
    <w:rsid w:val="0092705E"/>
    <w:rsid w:val="00960032"/>
    <w:rsid w:val="00961FD8"/>
    <w:rsid w:val="00963FD4"/>
    <w:rsid w:val="00975BDC"/>
    <w:rsid w:val="009A075A"/>
    <w:rsid w:val="009A2A5E"/>
    <w:rsid w:val="009B2F27"/>
    <w:rsid w:val="009C3532"/>
    <w:rsid w:val="009C4A14"/>
    <w:rsid w:val="009E1840"/>
    <w:rsid w:val="00A312A4"/>
    <w:rsid w:val="00A51B49"/>
    <w:rsid w:val="00A60556"/>
    <w:rsid w:val="00A608CB"/>
    <w:rsid w:val="00A7325D"/>
    <w:rsid w:val="00A91818"/>
    <w:rsid w:val="00B01E76"/>
    <w:rsid w:val="00B12614"/>
    <w:rsid w:val="00B14809"/>
    <w:rsid w:val="00B2752E"/>
    <w:rsid w:val="00B31AC4"/>
    <w:rsid w:val="00B46230"/>
    <w:rsid w:val="00B85BEE"/>
    <w:rsid w:val="00B966E7"/>
    <w:rsid w:val="00B9762B"/>
    <w:rsid w:val="00BD326E"/>
    <w:rsid w:val="00BD7B62"/>
    <w:rsid w:val="00C1754A"/>
    <w:rsid w:val="00C22D9C"/>
    <w:rsid w:val="00C341D3"/>
    <w:rsid w:val="00C452A4"/>
    <w:rsid w:val="00C52891"/>
    <w:rsid w:val="00C60ABC"/>
    <w:rsid w:val="00C77625"/>
    <w:rsid w:val="00CA32B5"/>
    <w:rsid w:val="00CB2D40"/>
    <w:rsid w:val="00CB68C5"/>
    <w:rsid w:val="00CC0A14"/>
    <w:rsid w:val="00CC2ADF"/>
    <w:rsid w:val="00CC366C"/>
    <w:rsid w:val="00CD20E7"/>
    <w:rsid w:val="00CF0C99"/>
    <w:rsid w:val="00D124BA"/>
    <w:rsid w:val="00D15A7C"/>
    <w:rsid w:val="00D15F07"/>
    <w:rsid w:val="00D2108A"/>
    <w:rsid w:val="00D554EE"/>
    <w:rsid w:val="00D62715"/>
    <w:rsid w:val="00D84E55"/>
    <w:rsid w:val="00DF041A"/>
    <w:rsid w:val="00E42B69"/>
    <w:rsid w:val="00E60877"/>
    <w:rsid w:val="00E64CD7"/>
    <w:rsid w:val="00E73567"/>
    <w:rsid w:val="00E74139"/>
    <w:rsid w:val="00E956B7"/>
    <w:rsid w:val="00EB642A"/>
    <w:rsid w:val="00EB65E5"/>
    <w:rsid w:val="00EE0903"/>
    <w:rsid w:val="00EF1E19"/>
    <w:rsid w:val="00F217A3"/>
    <w:rsid w:val="00F33C25"/>
    <w:rsid w:val="00F80214"/>
    <w:rsid w:val="00FB2451"/>
    <w:rsid w:val="00FC71DF"/>
    <w:rsid w:val="00FF6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DDBCC4-4F6A-436F-BF25-FC4B5AE8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608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877"/>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E64CD7"/>
    <w:pPr>
      <w:ind w:left="720"/>
      <w:contextualSpacing/>
    </w:pPr>
  </w:style>
  <w:style w:type="paragraph" w:styleId="Header">
    <w:name w:val="header"/>
    <w:basedOn w:val="Normal"/>
    <w:link w:val="HeaderChar"/>
    <w:uiPriority w:val="99"/>
    <w:unhideWhenUsed/>
    <w:rsid w:val="00351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80A"/>
  </w:style>
  <w:style w:type="paragraph" w:styleId="Footer">
    <w:name w:val="footer"/>
    <w:basedOn w:val="Normal"/>
    <w:link w:val="FooterChar"/>
    <w:uiPriority w:val="99"/>
    <w:unhideWhenUsed/>
    <w:rsid w:val="00351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12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GEOFF</cp:lastModifiedBy>
  <cp:revision>2</cp:revision>
  <dcterms:created xsi:type="dcterms:W3CDTF">2021-10-14T20:04:00Z</dcterms:created>
  <dcterms:modified xsi:type="dcterms:W3CDTF">2021-10-14T20:04:00Z</dcterms:modified>
</cp:coreProperties>
</file>